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snapToGrid/>
        <w:spacing w:line="576" w:lineRule="exact"/>
        <w:jc w:val="center"/>
        <w:textAlignment w:val="auto"/>
        <w:rPr>
          <w:rFonts w:hint="default" w:ascii="Times New Roman" w:hAnsi="Times New Roman" w:eastAsia="方正小标宋简体" w:cs="Times New Roman"/>
          <w:bCs/>
          <w:w w:val="95"/>
          <w:sz w:val="44"/>
          <w:szCs w:val="44"/>
          <w:lang w:val="en-US" w:eastAsia="zh-CN"/>
        </w:rPr>
      </w:pPr>
      <w:bookmarkStart w:id="0" w:name="OLE_LINK1"/>
      <w:r>
        <w:rPr>
          <w:rFonts w:hint="eastAsia" w:eastAsia="方正小标宋简体" w:cs="Times New Roman"/>
          <w:bCs/>
          <w:w w:val="95"/>
          <w:sz w:val="44"/>
          <w:szCs w:val="44"/>
          <w:lang w:val="en-US" w:eastAsia="zh-CN"/>
        </w:rPr>
        <w:t>四川省慈善联合总会</w:t>
      </w:r>
      <w:r>
        <w:rPr>
          <w:rFonts w:hint="eastAsia" w:ascii="方正小标宋简体" w:hAnsi="方正小标宋简体" w:eastAsia="方正小标宋简体" w:cs="方正小标宋简体"/>
          <w:w w:val="95"/>
          <w:sz w:val="44"/>
          <w:szCs w:val="44"/>
          <w:lang w:val="en-US" w:eastAsia="zh-CN"/>
        </w:rPr>
        <w:t>重大事项报告管理制度</w:t>
      </w:r>
    </w:p>
    <w:bookmarkEnd w:id="0"/>
    <w:p>
      <w:pPr>
        <w:keepNext w:val="0"/>
        <w:keepLines w:val="0"/>
        <w:pageBreakBefore w:val="0"/>
        <w:widowControl w:val="0"/>
        <w:kinsoku/>
        <w:wordWrap/>
        <w:overflowPunct/>
        <w:topLinePunct w:val="0"/>
        <w:autoSpaceDE/>
        <w:autoSpaceDN/>
        <w:bidi w:val="0"/>
        <w:adjustRightInd/>
        <w:snapToGrid/>
        <w:spacing w:before="0" w:beforeLines="0" w:line="576" w:lineRule="exact"/>
        <w:ind w:firstLine="0" w:firstLineChars="0"/>
        <w:jc w:val="center"/>
        <w:textAlignment w:val="auto"/>
        <w:outlineLvl w:val="9"/>
        <w:rPr>
          <w:rFonts w:hint="default" w:ascii="Times New Roman" w:hAnsi="Times New Roman" w:eastAsia="黑体" w:cs="Times New Roman"/>
          <w:b w:val="0"/>
          <w:bCs w:val="0"/>
          <w:snapToGrid w:val="0"/>
          <w:color w:val="auto"/>
          <w:spacing w:val="0"/>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0" w:firstLineChars="0"/>
        <w:jc w:val="center"/>
        <w:textAlignment w:val="auto"/>
        <w:outlineLvl w:val="9"/>
        <w:rPr>
          <w:rFonts w:hint="eastAsia" w:ascii="仿宋_GB2312" w:hAnsi="仿宋_GB2312" w:eastAsia="仿宋_GB2312" w:cs="仿宋_GB2312"/>
          <w:color w:val="000000"/>
          <w:kern w:val="2"/>
          <w:sz w:val="32"/>
          <w:szCs w:val="32"/>
          <w:highlight w:val="none"/>
          <w:lang w:val="en-US" w:eastAsia="zh-CN" w:bidi="ar-SA"/>
        </w:rPr>
      </w:pPr>
      <w:r>
        <w:rPr>
          <w:rFonts w:hint="default" w:ascii="Times New Roman" w:hAnsi="Times New Roman" w:eastAsia="黑体" w:cs="Times New Roman"/>
          <w:b w:val="0"/>
          <w:bCs w:val="0"/>
          <w:snapToGrid w:val="0"/>
          <w:color w:val="auto"/>
          <w:spacing w:val="0"/>
          <w:kern w:val="0"/>
          <w:sz w:val="32"/>
          <w:szCs w:val="32"/>
          <w:shd w:val="clear" w:color="auto" w:fill="auto"/>
        </w:rPr>
        <w:t xml:space="preserve">第一章 </w:t>
      </w:r>
      <w:r>
        <w:rPr>
          <w:rFonts w:hint="default" w:ascii="Times New Roman" w:hAnsi="Times New Roman" w:eastAsia="黑体" w:cs="Times New Roman"/>
          <w:b w:val="0"/>
          <w:bCs w:val="0"/>
          <w:snapToGrid w:val="0"/>
          <w:color w:val="auto"/>
          <w:spacing w:val="0"/>
          <w:kern w:val="0"/>
          <w:sz w:val="32"/>
          <w:szCs w:val="32"/>
          <w:shd w:val="clear" w:color="auto" w:fill="auto"/>
          <w:lang w:val="en-US" w:eastAsia="zh-CN"/>
        </w:rPr>
        <w:t xml:space="preserve"> </w:t>
      </w:r>
      <w:r>
        <w:rPr>
          <w:rFonts w:hint="default" w:ascii="Times New Roman" w:hAnsi="Times New Roman" w:eastAsia="黑体" w:cs="Times New Roman"/>
          <w:b w:val="0"/>
          <w:bCs w:val="0"/>
          <w:snapToGrid w:val="0"/>
          <w:color w:val="auto"/>
          <w:spacing w:val="0"/>
          <w:kern w:val="0"/>
          <w:sz w:val="32"/>
          <w:szCs w:val="32"/>
          <w:shd w:val="clear" w:color="auto" w:fill="auto"/>
        </w:rPr>
        <w:t>总</w:t>
      </w:r>
      <w:r>
        <w:rPr>
          <w:rFonts w:hint="default" w:ascii="Times New Roman" w:hAnsi="Times New Roman" w:eastAsia="黑体" w:cs="Times New Roman"/>
          <w:b w:val="0"/>
          <w:bCs w:val="0"/>
          <w:snapToGrid w:val="0"/>
          <w:color w:val="auto"/>
          <w:spacing w:val="0"/>
          <w:kern w:val="0"/>
          <w:sz w:val="32"/>
          <w:szCs w:val="32"/>
          <w:shd w:val="clear" w:color="auto" w:fill="auto"/>
          <w:lang w:val="en-US" w:eastAsia="zh-CN"/>
        </w:rPr>
        <w:t xml:space="preserve">  </w:t>
      </w:r>
      <w:r>
        <w:rPr>
          <w:rFonts w:hint="default" w:ascii="Times New Roman" w:hAnsi="Times New Roman" w:eastAsia="黑体" w:cs="Times New Roman"/>
          <w:b w:val="0"/>
          <w:bCs w:val="0"/>
          <w:snapToGrid w:val="0"/>
          <w:color w:val="auto"/>
          <w:spacing w:val="0"/>
          <w:kern w:val="0"/>
          <w:sz w:val="32"/>
          <w:szCs w:val="32"/>
          <w:shd w:val="clear" w:color="auto" w:fill="auto"/>
        </w:rPr>
        <w:t>则</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 xml:space="preserve">第一条  </w:t>
      </w:r>
      <w:r>
        <w:rPr>
          <w:rFonts w:hint="eastAsia" w:ascii="仿宋_GB2312" w:hAnsi="仿宋_GB2312" w:eastAsia="仿宋_GB2312" w:cs="仿宋_GB2312"/>
          <w:color w:val="000000"/>
          <w:kern w:val="2"/>
          <w:sz w:val="32"/>
          <w:szCs w:val="32"/>
          <w:highlight w:val="none"/>
          <w:lang w:val="en-US" w:eastAsia="zh-CN" w:bidi="ar-SA"/>
        </w:rPr>
        <w:t>为进一步加强和规范四川省慈善联合总会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（以下简称“总会”）</w:t>
      </w:r>
      <w:r>
        <w:rPr>
          <w:rFonts w:hint="eastAsia" w:ascii="仿宋_GB2312" w:hAnsi="仿宋_GB2312" w:eastAsia="仿宋_GB2312" w:cs="仿宋_GB2312"/>
          <w:color w:val="000000"/>
          <w:kern w:val="2"/>
          <w:sz w:val="32"/>
          <w:szCs w:val="32"/>
          <w:highlight w:val="none"/>
          <w:lang w:val="en-US" w:eastAsia="zh-CN" w:bidi="ar-SA"/>
        </w:rPr>
        <w:t>重大事项的管理，规范内部治理和业务活动，根据《社会团体登记管理条例》《民办非企业单位登记管理暂行条例》，依照总会章程的规定，制定本制度。</w:t>
      </w:r>
    </w:p>
    <w:p>
      <w:pPr>
        <w:pStyle w:val="3"/>
        <w:keepNext w:val="0"/>
        <w:keepLines w:val="0"/>
        <w:pageBreakBefore w:val="0"/>
        <w:widowControl w:val="0"/>
        <w:kinsoku/>
        <w:wordWrap/>
        <w:overflowPunct/>
        <w:topLinePunct w:val="0"/>
        <w:autoSpaceDE/>
        <w:autoSpaceDN/>
        <w:bidi w:val="0"/>
        <w:snapToGrid/>
        <w:spacing w:line="600" w:lineRule="exact"/>
        <w:ind w:firstLine="643"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第二条</w:t>
      </w:r>
      <w:r>
        <w:rPr>
          <w:rFonts w:hint="eastAsia" w:ascii="仿宋_GB2312" w:hAnsi="仿宋_GB2312" w:eastAsia="仿宋_GB2312" w:cs="仿宋_GB2312"/>
          <w:color w:val="000000"/>
          <w:kern w:val="2"/>
          <w:sz w:val="32"/>
          <w:szCs w:val="32"/>
          <w:highlight w:val="none"/>
          <w:lang w:val="en-US" w:eastAsia="zh-CN" w:bidi="ar-SA"/>
        </w:rPr>
        <w:t xml:space="preserve">  重大事项是指需要报业务主管单位批准或需要向登记管理机关备案的有关事项，可能产生较大影响的重</w:t>
      </w:r>
      <w:bookmarkStart w:id="2" w:name="_GoBack"/>
      <w:bookmarkEnd w:id="2"/>
      <w:r>
        <w:rPr>
          <w:rFonts w:hint="eastAsia" w:ascii="仿宋_GB2312" w:hAnsi="仿宋_GB2312" w:eastAsia="仿宋_GB2312" w:cs="仿宋_GB2312"/>
          <w:color w:val="000000"/>
          <w:kern w:val="2"/>
          <w:sz w:val="32"/>
          <w:szCs w:val="32"/>
          <w:highlight w:val="none"/>
          <w:lang w:val="en-US" w:eastAsia="zh-CN" w:bidi="ar-SA"/>
        </w:rPr>
        <w:t>大会议、重大变化、重大事件和重大活动等事项。</w:t>
      </w:r>
    </w:p>
    <w:p>
      <w:pPr>
        <w:pStyle w:val="3"/>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w:t>
      </w:r>
      <w:r>
        <w:rPr>
          <w:rFonts w:hint="eastAsia" w:ascii="仿宋_GB2312" w:hAnsi="仿宋_GB2312" w:cs="仿宋_GB2312"/>
          <w:b/>
          <w:bCs/>
          <w:color w:val="000000"/>
          <w:kern w:val="2"/>
          <w:sz w:val="32"/>
          <w:szCs w:val="32"/>
          <w:highlight w:val="none"/>
          <w:lang w:val="en-US" w:eastAsia="zh-CN" w:bidi="ar-SA"/>
        </w:rPr>
        <w:t>三</w:t>
      </w:r>
      <w:r>
        <w:rPr>
          <w:rFonts w:hint="eastAsia" w:ascii="仿宋_GB2312" w:hAnsi="仿宋_GB2312" w:eastAsia="仿宋_GB2312" w:cs="仿宋_GB2312"/>
          <w:b/>
          <w:bCs/>
          <w:color w:val="000000"/>
          <w:kern w:val="2"/>
          <w:sz w:val="32"/>
          <w:szCs w:val="32"/>
          <w:highlight w:val="none"/>
          <w:lang w:val="en-US" w:eastAsia="zh-CN" w:bidi="ar-SA"/>
        </w:rPr>
        <w:t>条</w:t>
      </w:r>
      <w:r>
        <w:rPr>
          <w:rFonts w:hint="eastAsia" w:ascii="仿宋_GB2312" w:hAnsi="仿宋_GB2312" w:eastAsia="仿宋_GB2312" w:cs="仿宋_GB2312"/>
          <w:color w:val="000000"/>
          <w:kern w:val="2"/>
          <w:sz w:val="32"/>
          <w:szCs w:val="32"/>
          <w:highlight w:val="none"/>
          <w:lang w:val="en-US" w:eastAsia="zh-CN" w:bidi="ar-SA"/>
        </w:rPr>
        <w:t xml:space="preserve">  重大事项报告分为报批、报备和即时报告三类。</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（一）报批事项应采用书面形式逐级报批，未经批准，不得擅自开展；</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（二）报备事项一般采用书面形式，紧急情况可口头报告，事后再补书面报备资料；</w:t>
      </w:r>
    </w:p>
    <w:p>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黑体" w:cs="Times New Roman"/>
          <w:b w:val="0"/>
          <w:bCs w:val="0"/>
          <w:snapToGrid w:val="0"/>
          <w:color w:val="auto"/>
          <w:spacing w:val="0"/>
          <w:kern w:val="0"/>
          <w:sz w:val="32"/>
          <w:szCs w:val="32"/>
          <w:shd w:val="clear" w:color="auto" w:fill="auto"/>
          <w:lang w:val="en-US" w:eastAsia="zh-CN"/>
        </w:rPr>
      </w:pPr>
      <w:r>
        <w:rPr>
          <w:rFonts w:hint="eastAsia" w:ascii="仿宋_GB2312" w:hAnsi="仿宋_GB2312" w:eastAsia="仿宋_GB2312" w:cs="仿宋_GB2312"/>
          <w:color w:val="000000"/>
          <w:kern w:val="2"/>
          <w:sz w:val="32"/>
          <w:szCs w:val="32"/>
          <w:highlight w:val="none"/>
          <w:lang w:val="en-US" w:eastAsia="zh-CN" w:bidi="ar-SA"/>
        </w:rPr>
        <w:t>（三）即时报告事项要及时处理或上报，</w:t>
      </w:r>
      <w:r>
        <w:rPr>
          <w:rFonts w:hint="default" w:ascii="仿宋_GB2312" w:hAnsi="仿宋_GB2312" w:eastAsia="仿宋_GB2312" w:cs="仿宋_GB2312"/>
          <w:color w:val="000000"/>
          <w:kern w:val="2"/>
          <w:sz w:val="32"/>
          <w:szCs w:val="32"/>
          <w:highlight w:val="none"/>
          <w:lang w:val="en-US" w:eastAsia="zh-CN" w:bidi="ar-SA"/>
        </w:rPr>
        <w:t>事项后续情况发生重大变化的，应及时续报</w:t>
      </w:r>
      <w:r>
        <w:rPr>
          <w:rFonts w:hint="eastAsia" w:ascii="仿宋_GB2312" w:hAnsi="仿宋_GB2312" w:eastAsia="仿宋_GB2312" w:cs="仿宋_GB2312"/>
          <w:color w:val="000000"/>
          <w:kern w:val="2"/>
          <w:sz w:val="32"/>
          <w:szCs w:val="32"/>
          <w:highlight w:val="none"/>
          <w:lang w:val="en-US" w:eastAsia="zh-CN" w:bidi="ar-SA"/>
        </w:rPr>
        <w:t>并做好后续工作。</w:t>
      </w:r>
    </w:p>
    <w:p>
      <w:pPr>
        <w:keepNext w:val="0"/>
        <w:keepLines w:val="0"/>
        <w:pageBreakBefore w:val="0"/>
        <w:widowControl w:val="0"/>
        <w:kinsoku/>
        <w:wordWrap/>
        <w:overflowPunct/>
        <w:topLinePunct w:val="0"/>
        <w:autoSpaceDE/>
        <w:autoSpaceDN/>
        <w:bidi w:val="0"/>
        <w:adjustRightInd/>
        <w:snapToGrid/>
        <w:spacing w:before="0" w:beforeLines="0" w:line="576" w:lineRule="exact"/>
        <w:ind w:firstLine="0" w:firstLineChars="0"/>
        <w:jc w:val="center"/>
        <w:textAlignment w:val="auto"/>
        <w:outlineLvl w:val="9"/>
        <w:rPr>
          <w:rFonts w:hint="eastAsia" w:ascii="Times New Roman" w:hAnsi="Times New Roman" w:eastAsia="黑体" w:cs="Times New Roman"/>
          <w:b w:val="0"/>
          <w:bCs w:val="0"/>
          <w:snapToGrid w:val="0"/>
          <w:color w:val="auto"/>
          <w:spacing w:val="0"/>
          <w:kern w:val="0"/>
          <w:sz w:val="32"/>
          <w:szCs w:val="32"/>
          <w:shd w:val="clear" w:color="auto" w:fill="auto"/>
          <w:lang w:val="en-US" w:eastAsia="zh-CN"/>
        </w:rPr>
      </w:pPr>
      <w:r>
        <w:rPr>
          <w:rFonts w:hint="eastAsia" w:ascii="Times New Roman" w:hAnsi="Times New Roman" w:eastAsia="黑体" w:cs="Times New Roman"/>
          <w:b w:val="0"/>
          <w:bCs w:val="0"/>
          <w:snapToGrid w:val="0"/>
          <w:color w:val="auto"/>
          <w:spacing w:val="0"/>
          <w:kern w:val="0"/>
          <w:sz w:val="32"/>
          <w:szCs w:val="32"/>
          <w:shd w:val="clear" w:color="auto" w:fill="auto"/>
          <w:lang w:val="en-US" w:eastAsia="zh-CN"/>
        </w:rPr>
        <w:t>第二章</w:t>
      </w:r>
      <w:r>
        <w:rPr>
          <w:rFonts w:hint="default" w:ascii="Times New Roman" w:hAnsi="Times New Roman" w:eastAsia="黑体" w:cs="Times New Roman"/>
          <w:b w:val="0"/>
          <w:bCs w:val="0"/>
          <w:snapToGrid w:val="0"/>
          <w:color w:val="auto"/>
          <w:spacing w:val="0"/>
          <w:kern w:val="0"/>
          <w:sz w:val="32"/>
          <w:szCs w:val="32"/>
          <w:shd w:val="clear" w:color="auto" w:fill="auto"/>
        </w:rPr>
        <w:t xml:space="preserve"> </w:t>
      </w:r>
      <w:r>
        <w:rPr>
          <w:rFonts w:hint="default" w:ascii="Times New Roman" w:hAnsi="Times New Roman" w:eastAsia="黑体" w:cs="Times New Roman"/>
          <w:b w:val="0"/>
          <w:bCs w:val="0"/>
          <w:snapToGrid w:val="0"/>
          <w:color w:val="auto"/>
          <w:spacing w:val="0"/>
          <w:kern w:val="0"/>
          <w:sz w:val="32"/>
          <w:szCs w:val="32"/>
          <w:shd w:val="clear" w:color="auto" w:fill="auto"/>
          <w:lang w:val="en-US" w:eastAsia="zh-CN"/>
        </w:rPr>
        <w:t xml:space="preserve"> </w:t>
      </w:r>
      <w:r>
        <w:rPr>
          <w:rFonts w:hint="eastAsia" w:ascii="Times New Roman" w:hAnsi="Times New Roman" w:eastAsia="黑体" w:cs="Times New Roman"/>
          <w:b w:val="0"/>
          <w:bCs w:val="0"/>
          <w:snapToGrid w:val="0"/>
          <w:color w:val="auto"/>
          <w:spacing w:val="0"/>
          <w:kern w:val="0"/>
          <w:sz w:val="32"/>
          <w:szCs w:val="32"/>
          <w:shd w:val="clear" w:color="auto" w:fill="auto"/>
          <w:lang w:val="en-US" w:eastAsia="zh-CN"/>
        </w:rPr>
        <w:t>报批类事项</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3"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w:t>
      </w:r>
      <w:r>
        <w:rPr>
          <w:rFonts w:hint="eastAsia" w:ascii="仿宋_GB2312" w:hAnsi="仿宋_GB2312" w:cs="仿宋_GB2312"/>
          <w:b/>
          <w:bCs/>
          <w:color w:val="000000"/>
          <w:kern w:val="2"/>
          <w:sz w:val="32"/>
          <w:szCs w:val="32"/>
          <w:highlight w:val="none"/>
          <w:lang w:val="en-US" w:eastAsia="zh-CN" w:bidi="ar-SA"/>
        </w:rPr>
        <w:t>四</w:t>
      </w:r>
      <w:r>
        <w:rPr>
          <w:rFonts w:hint="eastAsia" w:ascii="仿宋_GB2312" w:hAnsi="仿宋_GB2312" w:eastAsia="仿宋_GB2312" w:cs="仿宋_GB2312"/>
          <w:b/>
          <w:bCs/>
          <w:color w:val="000000"/>
          <w:kern w:val="2"/>
          <w:sz w:val="32"/>
          <w:szCs w:val="32"/>
          <w:highlight w:val="none"/>
          <w:lang w:val="en-US" w:eastAsia="zh-CN" w:bidi="ar-SA"/>
        </w:rPr>
        <w:t xml:space="preserve">条  </w:t>
      </w:r>
      <w:r>
        <w:rPr>
          <w:rFonts w:hint="eastAsia" w:ascii="仿宋_GB2312" w:hAnsi="仿宋_GB2312" w:eastAsia="仿宋_GB2312" w:cs="仿宋_GB2312"/>
          <w:color w:val="000000"/>
          <w:kern w:val="2"/>
          <w:sz w:val="32"/>
          <w:szCs w:val="32"/>
          <w:highlight w:val="none"/>
          <w:lang w:val="en-US" w:eastAsia="zh-CN" w:bidi="ar-SA"/>
        </w:rPr>
        <w:t>以下重大事项，由总会相关部门提出书面意见（报告或备案材料），报会领导同意后，报业务主管单位审批或备案，同时应按照相关规定向登记管理机关报请核准、变更登记和备案。</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（一）修改章程；</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（二）换届选举；</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（三）提前或延期换届；</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（四）登记事项变更，包括变更名称住址、主管的单位、举办资金、法定代表人和业务范围等；</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（五）调整（含罢免）负责人，包括会长、副会长、秘书长以及需要报告的重要的分支机构、代表机构；</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（六）开展评比达标表彰活动；</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（七）</w:t>
      </w:r>
      <w:r>
        <w:rPr>
          <w:rFonts w:hint="default" w:ascii="仿宋_GB2312" w:hAnsi="仿宋_GB2312" w:eastAsia="仿宋_GB2312" w:cs="仿宋_GB2312"/>
          <w:color w:val="000000"/>
          <w:kern w:val="2"/>
          <w:sz w:val="32"/>
          <w:szCs w:val="32"/>
          <w:highlight w:val="none"/>
          <w:lang w:val="en-US" w:eastAsia="zh-CN" w:bidi="ar-SA"/>
        </w:rPr>
        <w:t>举办</w:t>
      </w:r>
      <w:r>
        <w:rPr>
          <w:rFonts w:hint="eastAsia" w:ascii="仿宋_GB2312" w:hAnsi="仿宋_GB2312" w:eastAsia="仿宋_GB2312" w:cs="仿宋_GB2312"/>
          <w:color w:val="000000"/>
          <w:kern w:val="2"/>
          <w:sz w:val="32"/>
          <w:szCs w:val="32"/>
          <w:highlight w:val="none"/>
          <w:lang w:val="en-US" w:eastAsia="zh-CN" w:bidi="ar-SA"/>
        </w:rPr>
        <w:t>或承办参与人员500人以上或开支100万元以上的会议、研讨、论坛等活动（以下简称“一讲两坛三会”）等活动；</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八）开展涉及国际及涉港澳台合作交流活动，主要包括：加入境外非政府组织、组织出国（境）开展交流活动、志愿服务、人道主义救援或参加会议、论坛、培训等，主办或承办国际或涉港澳台活动，接受境外捐赠资助及开展相关活动，与境外组织、人员开展项目合作，组织、接待境外组织及人员来访或参加活动等；</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（九）邀请省部级党政领导同志出席一讲两坛三会等活动；</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（十）开展涉及民族、宗教有关重大活动、有重大社会影响的公益诉讼等活动，以及涉政类社会智库的重要业务活动；</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（十一）开展重大投资活动，设立或注销经济实体；</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（十二）其他依法依规应当报批的事项。</w:t>
      </w:r>
    </w:p>
    <w:p>
      <w:pPr>
        <w:pStyle w:val="3"/>
        <w:keepNext w:val="0"/>
        <w:keepLines w:val="0"/>
        <w:pageBreakBefore w:val="0"/>
        <w:widowControl w:val="0"/>
        <w:kinsoku/>
        <w:wordWrap/>
        <w:overflowPunct/>
        <w:topLinePunct w:val="0"/>
        <w:autoSpaceDE/>
        <w:autoSpaceDN/>
        <w:bidi w:val="0"/>
        <w:snapToGrid/>
        <w:spacing w:after="0" w:line="600" w:lineRule="exact"/>
        <w:ind w:firstLine="0" w:firstLineChars="0"/>
        <w:jc w:val="center"/>
        <w:textAlignment w:val="auto"/>
        <w:rPr>
          <w:rFonts w:hint="eastAsia" w:ascii="Times New Roman" w:hAnsi="Times New Roman" w:eastAsia="黑体" w:cs="Times New Roman"/>
          <w:b w:val="0"/>
          <w:bCs w:val="0"/>
          <w:snapToGrid w:val="0"/>
          <w:color w:val="auto"/>
          <w:spacing w:val="0"/>
          <w:kern w:val="0"/>
          <w:sz w:val="32"/>
          <w:szCs w:val="32"/>
          <w:shd w:val="clear" w:color="auto" w:fill="auto"/>
          <w:lang w:val="en-US" w:eastAsia="zh-CN" w:bidi="ar-SA"/>
        </w:rPr>
      </w:pPr>
    </w:p>
    <w:p>
      <w:pPr>
        <w:pStyle w:val="3"/>
        <w:keepNext w:val="0"/>
        <w:keepLines w:val="0"/>
        <w:pageBreakBefore w:val="0"/>
        <w:widowControl w:val="0"/>
        <w:kinsoku/>
        <w:wordWrap/>
        <w:overflowPunct/>
        <w:topLinePunct w:val="0"/>
        <w:autoSpaceDE/>
        <w:autoSpaceDN/>
        <w:bidi w:val="0"/>
        <w:snapToGrid/>
        <w:spacing w:after="0" w:line="600" w:lineRule="exact"/>
        <w:ind w:firstLine="0" w:firstLineChars="0"/>
        <w:jc w:val="center"/>
        <w:textAlignment w:val="auto"/>
        <w:rPr>
          <w:rFonts w:hint="eastAsia" w:ascii="黑体" w:hAnsi="宋体" w:eastAsia="黑体" w:cs="黑体"/>
          <w:i w:val="0"/>
          <w:caps w:val="0"/>
          <w:color w:val="000000"/>
          <w:spacing w:val="0"/>
          <w:kern w:val="0"/>
          <w:sz w:val="32"/>
          <w:szCs w:val="32"/>
          <w:lang w:val="en-US" w:eastAsia="zh-CN" w:bidi="ar"/>
        </w:rPr>
      </w:pPr>
      <w:r>
        <w:rPr>
          <w:rFonts w:hint="eastAsia" w:ascii="Times New Roman" w:hAnsi="Times New Roman" w:eastAsia="黑体" w:cs="Times New Roman"/>
          <w:b w:val="0"/>
          <w:bCs w:val="0"/>
          <w:snapToGrid w:val="0"/>
          <w:color w:val="auto"/>
          <w:spacing w:val="0"/>
          <w:kern w:val="0"/>
          <w:sz w:val="32"/>
          <w:szCs w:val="32"/>
          <w:shd w:val="clear" w:color="auto" w:fill="auto"/>
          <w:lang w:val="en-US" w:eastAsia="zh-CN" w:bidi="ar-SA"/>
        </w:rPr>
        <w:t>第三章</w:t>
      </w:r>
      <w:r>
        <w:rPr>
          <w:rFonts w:hint="default" w:ascii="Times New Roman" w:hAnsi="Times New Roman" w:eastAsia="黑体" w:cs="Times New Roman"/>
          <w:b w:val="0"/>
          <w:bCs w:val="0"/>
          <w:snapToGrid w:val="0"/>
          <w:color w:val="auto"/>
          <w:spacing w:val="0"/>
          <w:kern w:val="0"/>
          <w:sz w:val="32"/>
          <w:szCs w:val="32"/>
          <w:shd w:val="clear" w:color="auto" w:fill="auto"/>
        </w:rPr>
        <w:t xml:space="preserve"> </w:t>
      </w:r>
      <w:r>
        <w:rPr>
          <w:rFonts w:hint="default" w:ascii="Times New Roman" w:hAnsi="Times New Roman" w:eastAsia="黑体" w:cs="Times New Roman"/>
          <w:b w:val="0"/>
          <w:bCs w:val="0"/>
          <w:snapToGrid w:val="0"/>
          <w:color w:val="auto"/>
          <w:spacing w:val="0"/>
          <w:kern w:val="0"/>
          <w:sz w:val="32"/>
          <w:szCs w:val="32"/>
          <w:shd w:val="clear" w:color="auto" w:fill="auto"/>
          <w:lang w:val="en-US" w:eastAsia="zh-CN"/>
        </w:rPr>
        <w:t xml:space="preserve"> </w:t>
      </w:r>
      <w:r>
        <w:rPr>
          <w:rFonts w:hint="eastAsia" w:ascii="Times New Roman" w:hAnsi="Times New Roman" w:eastAsia="黑体" w:cs="Times New Roman"/>
          <w:b w:val="0"/>
          <w:bCs w:val="0"/>
          <w:snapToGrid w:val="0"/>
          <w:color w:val="auto"/>
          <w:spacing w:val="0"/>
          <w:kern w:val="0"/>
          <w:sz w:val="32"/>
          <w:szCs w:val="32"/>
          <w:shd w:val="clear" w:color="auto" w:fill="auto"/>
          <w:lang w:val="en-US" w:eastAsia="zh-CN" w:bidi="ar-SA"/>
        </w:rPr>
        <w:t>报备类事项</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3"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第五条</w:t>
      </w:r>
      <w:r>
        <w:rPr>
          <w:rFonts w:hint="eastAsia" w:ascii="仿宋_GB2312" w:hAnsi="仿宋_GB2312" w:eastAsia="仿宋_GB2312" w:cs="仿宋_GB2312"/>
          <w:color w:val="000000"/>
          <w:kern w:val="2"/>
          <w:sz w:val="32"/>
          <w:szCs w:val="32"/>
          <w:highlight w:val="none"/>
          <w:lang w:val="en-US" w:eastAsia="zh-CN" w:bidi="ar-SA"/>
        </w:rPr>
        <w:t xml:space="preserve">  以下重大事项，由总会有关部门提出书面意见（报告或备案材料），报会领导同意后，按照相关规定向业务主管单位或登记管理机关报备。</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（一）本</w:t>
      </w:r>
      <w:bookmarkStart w:id="1" w:name="OLE_LINK2"/>
      <w:r>
        <w:rPr>
          <w:rFonts w:hint="eastAsia" w:ascii="仿宋_GB2312" w:hAnsi="仿宋_GB2312" w:eastAsia="仿宋_GB2312" w:cs="仿宋_GB2312"/>
          <w:color w:val="000000"/>
          <w:kern w:val="2"/>
          <w:sz w:val="32"/>
          <w:szCs w:val="32"/>
          <w:highlight w:val="none"/>
          <w:lang w:val="en-US" w:eastAsia="zh-CN" w:bidi="ar-SA"/>
        </w:rPr>
        <w:t>年度的工作总结、下年度的工作计划及预算安排；</w:t>
      </w:r>
    </w:p>
    <w:bookmarkEnd w:id="1"/>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（二）召开会员代表大会；</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（三）增补或调整理事、监事；</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（四）调整会费标准；</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（五）按计划开展经批准的评比达标表彰活动；</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（六）按计划开展的</w:t>
      </w:r>
      <w:r>
        <w:rPr>
          <w:rFonts w:hint="default" w:ascii="仿宋_GB2312" w:hAnsi="仿宋_GB2312" w:eastAsia="仿宋_GB2312" w:cs="仿宋_GB2312"/>
          <w:color w:val="000000"/>
          <w:kern w:val="2"/>
          <w:sz w:val="32"/>
          <w:szCs w:val="32"/>
          <w:highlight w:val="none"/>
          <w:lang w:val="en-US" w:eastAsia="zh-CN" w:bidi="ar-SA"/>
        </w:rPr>
        <w:t>“</w:t>
      </w:r>
      <w:r>
        <w:rPr>
          <w:rFonts w:hint="eastAsia" w:ascii="仿宋_GB2312" w:hAnsi="仿宋_GB2312" w:eastAsia="仿宋_GB2312" w:cs="仿宋_GB2312"/>
          <w:color w:val="000000"/>
          <w:kern w:val="2"/>
          <w:sz w:val="32"/>
          <w:szCs w:val="32"/>
          <w:highlight w:val="none"/>
          <w:lang w:val="en-US" w:eastAsia="zh-CN" w:bidi="ar-SA"/>
        </w:rPr>
        <w:t>一讲两坛三会</w:t>
      </w:r>
      <w:r>
        <w:rPr>
          <w:rFonts w:hint="default" w:ascii="仿宋_GB2312" w:hAnsi="仿宋_GB2312" w:eastAsia="仿宋_GB2312" w:cs="仿宋_GB2312"/>
          <w:color w:val="000000"/>
          <w:kern w:val="2"/>
          <w:sz w:val="32"/>
          <w:szCs w:val="32"/>
          <w:highlight w:val="none"/>
          <w:lang w:val="en-US" w:eastAsia="zh-CN" w:bidi="ar-SA"/>
        </w:rPr>
        <w:t>”</w:t>
      </w:r>
      <w:r>
        <w:rPr>
          <w:rFonts w:hint="eastAsia" w:ascii="仿宋_GB2312" w:hAnsi="仿宋_GB2312" w:eastAsia="仿宋_GB2312" w:cs="仿宋_GB2312"/>
          <w:color w:val="000000"/>
          <w:kern w:val="2"/>
          <w:sz w:val="32"/>
          <w:szCs w:val="32"/>
          <w:highlight w:val="none"/>
          <w:lang w:val="en-US" w:eastAsia="zh-CN" w:bidi="ar-SA"/>
        </w:rPr>
        <w:t>活动；</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（七）设立分支机构、代表机构或专项基金；</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（八）接受单笔10</w:t>
      </w:r>
      <w:r>
        <w:rPr>
          <w:rFonts w:hint="default" w:ascii="仿宋_GB2312" w:hAnsi="仿宋_GB2312" w:eastAsia="仿宋_GB2312" w:cs="仿宋_GB2312"/>
          <w:color w:val="000000"/>
          <w:kern w:val="2"/>
          <w:sz w:val="32"/>
          <w:szCs w:val="32"/>
          <w:highlight w:val="none"/>
          <w:lang w:val="en-US" w:eastAsia="zh-CN" w:bidi="ar-SA"/>
        </w:rPr>
        <w:t>0</w:t>
      </w:r>
      <w:r>
        <w:rPr>
          <w:rFonts w:hint="eastAsia" w:ascii="仿宋_GB2312" w:hAnsi="仿宋_GB2312" w:eastAsia="仿宋_GB2312" w:cs="仿宋_GB2312"/>
          <w:color w:val="000000"/>
          <w:kern w:val="2"/>
          <w:sz w:val="32"/>
          <w:szCs w:val="32"/>
          <w:highlight w:val="none"/>
          <w:lang w:val="en-US" w:eastAsia="zh-CN" w:bidi="ar-SA"/>
        </w:rPr>
        <w:t>0万元（含）以上的境内捐赠；</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（九）其他依法依规应当报备的事项。</w:t>
      </w:r>
    </w:p>
    <w:p>
      <w:pPr>
        <w:pStyle w:val="3"/>
        <w:keepNext w:val="0"/>
        <w:keepLines w:val="0"/>
        <w:pageBreakBefore w:val="0"/>
        <w:widowControl w:val="0"/>
        <w:kinsoku/>
        <w:wordWrap/>
        <w:overflowPunct/>
        <w:topLinePunct w:val="0"/>
        <w:autoSpaceDE/>
        <w:autoSpaceDN/>
        <w:bidi w:val="0"/>
        <w:snapToGrid/>
        <w:spacing w:after="0" w:line="600" w:lineRule="exact"/>
        <w:ind w:firstLine="0" w:firstLineChars="0"/>
        <w:jc w:val="center"/>
        <w:textAlignment w:val="auto"/>
        <w:rPr>
          <w:rFonts w:hint="eastAsia" w:ascii="Times New Roman" w:hAnsi="Times New Roman" w:eastAsia="黑体" w:cs="Times New Roman"/>
          <w:b w:val="0"/>
          <w:bCs w:val="0"/>
          <w:snapToGrid w:val="0"/>
          <w:color w:val="auto"/>
          <w:spacing w:val="0"/>
          <w:kern w:val="0"/>
          <w:sz w:val="32"/>
          <w:szCs w:val="32"/>
          <w:shd w:val="clear" w:color="auto" w:fill="auto"/>
          <w:lang w:val="en-US" w:eastAsia="zh-CN" w:bidi="ar-SA"/>
        </w:rPr>
      </w:pPr>
    </w:p>
    <w:p>
      <w:pPr>
        <w:pStyle w:val="3"/>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黑体" w:hAnsi="宋体" w:eastAsia="黑体" w:cs="黑体"/>
          <w:i w:val="0"/>
          <w:caps w:val="0"/>
          <w:color w:val="000000"/>
          <w:spacing w:val="0"/>
          <w:kern w:val="0"/>
          <w:sz w:val="32"/>
          <w:szCs w:val="32"/>
          <w:lang w:val="en-US" w:eastAsia="zh-CN" w:bidi="ar"/>
        </w:rPr>
      </w:pPr>
      <w:r>
        <w:rPr>
          <w:rFonts w:hint="eastAsia" w:ascii="Times New Roman" w:hAnsi="Times New Roman" w:eastAsia="黑体" w:cs="Times New Roman"/>
          <w:b w:val="0"/>
          <w:bCs w:val="0"/>
          <w:snapToGrid w:val="0"/>
          <w:color w:val="auto"/>
          <w:spacing w:val="0"/>
          <w:kern w:val="0"/>
          <w:sz w:val="32"/>
          <w:szCs w:val="32"/>
          <w:shd w:val="clear" w:color="auto" w:fill="auto"/>
          <w:lang w:val="en-US" w:eastAsia="zh-CN" w:bidi="ar-SA"/>
        </w:rPr>
        <w:t>第四章</w:t>
      </w:r>
      <w:r>
        <w:rPr>
          <w:rFonts w:hint="default" w:ascii="Times New Roman" w:hAnsi="Times New Roman" w:eastAsia="黑体" w:cs="Times New Roman"/>
          <w:b w:val="0"/>
          <w:bCs w:val="0"/>
          <w:snapToGrid w:val="0"/>
          <w:color w:val="auto"/>
          <w:spacing w:val="0"/>
          <w:kern w:val="0"/>
          <w:sz w:val="32"/>
          <w:szCs w:val="32"/>
          <w:shd w:val="clear" w:color="auto" w:fill="auto"/>
        </w:rPr>
        <w:t xml:space="preserve"> </w:t>
      </w:r>
      <w:r>
        <w:rPr>
          <w:rFonts w:hint="default" w:ascii="Times New Roman" w:hAnsi="Times New Roman" w:eastAsia="黑体" w:cs="Times New Roman"/>
          <w:b w:val="0"/>
          <w:bCs w:val="0"/>
          <w:snapToGrid w:val="0"/>
          <w:color w:val="auto"/>
          <w:spacing w:val="0"/>
          <w:kern w:val="0"/>
          <w:sz w:val="32"/>
          <w:szCs w:val="32"/>
          <w:shd w:val="clear" w:color="auto" w:fill="auto"/>
          <w:lang w:val="en-US" w:eastAsia="zh-CN"/>
        </w:rPr>
        <w:t xml:space="preserve"> </w:t>
      </w:r>
      <w:r>
        <w:rPr>
          <w:rFonts w:hint="eastAsia" w:ascii="Times New Roman" w:hAnsi="Times New Roman" w:eastAsia="黑体" w:cs="Times New Roman"/>
          <w:b w:val="0"/>
          <w:bCs w:val="0"/>
          <w:snapToGrid w:val="0"/>
          <w:color w:val="auto"/>
          <w:spacing w:val="0"/>
          <w:kern w:val="0"/>
          <w:sz w:val="32"/>
          <w:szCs w:val="32"/>
          <w:shd w:val="clear" w:color="auto" w:fill="auto"/>
          <w:lang w:val="en-US" w:eastAsia="zh-CN" w:bidi="ar-SA"/>
        </w:rPr>
        <w:t>即时报告类事项</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3"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 xml:space="preserve">第六条  </w:t>
      </w:r>
      <w:r>
        <w:rPr>
          <w:rFonts w:hint="eastAsia" w:ascii="仿宋_GB2312" w:hAnsi="仿宋_GB2312" w:eastAsia="仿宋_GB2312" w:cs="仿宋_GB2312"/>
          <w:color w:val="000000"/>
          <w:kern w:val="2"/>
          <w:sz w:val="32"/>
          <w:szCs w:val="32"/>
          <w:highlight w:val="none"/>
          <w:lang w:val="en-US" w:eastAsia="zh-CN" w:bidi="ar-SA"/>
        </w:rPr>
        <w:t>以下重大事项，</w:t>
      </w:r>
      <w:r>
        <w:rPr>
          <w:rFonts w:hint="default" w:ascii="仿宋_GB2312" w:hAnsi="仿宋_GB2312" w:eastAsia="仿宋_GB2312" w:cs="仿宋_GB2312"/>
          <w:color w:val="000000"/>
          <w:kern w:val="2"/>
          <w:sz w:val="32"/>
          <w:szCs w:val="32"/>
          <w:highlight w:val="none"/>
          <w:lang w:val="en-US" w:eastAsia="zh-CN" w:bidi="ar-SA"/>
        </w:rPr>
        <w:t>涉及即时报告事项的，应</w:t>
      </w:r>
      <w:r>
        <w:rPr>
          <w:rFonts w:hint="eastAsia" w:ascii="仿宋_GB2312" w:hAnsi="仿宋_GB2312" w:eastAsia="仿宋_GB2312" w:cs="仿宋_GB2312"/>
          <w:color w:val="000000"/>
          <w:kern w:val="2"/>
          <w:sz w:val="32"/>
          <w:szCs w:val="32"/>
          <w:highlight w:val="none"/>
          <w:lang w:val="en-US" w:eastAsia="zh-CN" w:bidi="ar-SA"/>
        </w:rPr>
        <w:t>按规定</w:t>
      </w:r>
      <w:r>
        <w:rPr>
          <w:rFonts w:hint="default" w:ascii="仿宋_GB2312" w:hAnsi="仿宋_GB2312" w:eastAsia="仿宋_GB2312" w:cs="仿宋_GB2312"/>
          <w:color w:val="000000"/>
          <w:kern w:val="2"/>
          <w:sz w:val="32"/>
          <w:szCs w:val="32"/>
          <w:highlight w:val="none"/>
          <w:lang w:val="en-US" w:eastAsia="zh-CN" w:bidi="ar-SA"/>
        </w:rPr>
        <w:t>分别向业务主管单位和登记管理机关报送相关材料</w:t>
      </w:r>
      <w:r>
        <w:rPr>
          <w:rFonts w:hint="eastAsia" w:ascii="仿宋_GB2312" w:hAnsi="仿宋_GB2312" w:eastAsia="仿宋_GB2312" w:cs="仿宋_GB2312"/>
          <w:color w:val="000000"/>
          <w:kern w:val="2"/>
          <w:sz w:val="32"/>
          <w:szCs w:val="32"/>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（一）省级党委、政府及省级领导同志对社会组织提出要求、作出批示的；</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（二）发生安全事故，造成人员伤亡或财产损失的；</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（三）产生严重矛盾、纠纷，导致不能正常开展工作的；</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（四）违反法律、法规，受到有关行政机关处罚的；</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（五）主要负责人（会长、副会长、秘书长和法定代表人）死亡、失联、被采取强制措施的；</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（六）发生有重大影响的诉讼活动的；</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（七）产生重大社会负面舆情的；</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（八）其他应当即时报告的事项。</w:t>
      </w:r>
    </w:p>
    <w:p>
      <w:pPr>
        <w:pStyle w:val="3"/>
        <w:keepNext w:val="0"/>
        <w:keepLines w:val="0"/>
        <w:pageBreakBefore w:val="0"/>
        <w:widowControl w:val="0"/>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p>
    <w:p>
      <w:pPr>
        <w:pStyle w:val="3"/>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黑体" w:hAnsi="宋体" w:eastAsia="黑体" w:cs="黑体"/>
          <w:i w:val="0"/>
          <w:caps w:val="0"/>
          <w:color w:val="000000"/>
          <w:spacing w:val="0"/>
          <w:kern w:val="0"/>
          <w:sz w:val="32"/>
          <w:szCs w:val="32"/>
          <w:lang w:val="en-US" w:eastAsia="zh-CN" w:bidi="ar"/>
        </w:rPr>
      </w:pPr>
      <w:r>
        <w:rPr>
          <w:rFonts w:hint="eastAsia" w:ascii="Times New Roman" w:hAnsi="Times New Roman" w:eastAsia="黑体" w:cs="Times New Roman"/>
          <w:b w:val="0"/>
          <w:bCs w:val="0"/>
          <w:snapToGrid w:val="0"/>
          <w:color w:val="auto"/>
          <w:spacing w:val="0"/>
          <w:kern w:val="0"/>
          <w:sz w:val="32"/>
          <w:szCs w:val="32"/>
          <w:shd w:val="clear" w:color="auto" w:fill="auto"/>
          <w:lang w:val="en-US" w:eastAsia="zh-CN" w:bidi="ar-SA"/>
        </w:rPr>
        <w:t>第五章</w:t>
      </w:r>
      <w:r>
        <w:rPr>
          <w:rFonts w:hint="default" w:ascii="Times New Roman" w:hAnsi="Times New Roman" w:eastAsia="黑体" w:cs="Times New Roman"/>
          <w:b w:val="0"/>
          <w:bCs w:val="0"/>
          <w:snapToGrid w:val="0"/>
          <w:color w:val="auto"/>
          <w:spacing w:val="0"/>
          <w:kern w:val="0"/>
          <w:sz w:val="32"/>
          <w:szCs w:val="32"/>
          <w:shd w:val="clear" w:color="auto" w:fill="auto"/>
        </w:rPr>
        <w:t xml:space="preserve"> </w:t>
      </w:r>
      <w:r>
        <w:rPr>
          <w:rFonts w:hint="default" w:ascii="Times New Roman" w:hAnsi="Times New Roman" w:eastAsia="黑体" w:cs="Times New Roman"/>
          <w:b w:val="0"/>
          <w:bCs w:val="0"/>
          <w:snapToGrid w:val="0"/>
          <w:color w:val="auto"/>
          <w:spacing w:val="0"/>
          <w:kern w:val="0"/>
          <w:sz w:val="32"/>
          <w:szCs w:val="32"/>
          <w:shd w:val="clear" w:color="auto" w:fill="auto"/>
          <w:lang w:val="en-US" w:eastAsia="zh-CN"/>
        </w:rPr>
        <w:t xml:space="preserve"> </w:t>
      </w:r>
      <w:r>
        <w:rPr>
          <w:rFonts w:hint="eastAsia" w:ascii="Times New Roman" w:hAnsi="Times New Roman" w:eastAsia="黑体" w:cs="Times New Roman"/>
          <w:b w:val="0"/>
          <w:bCs w:val="0"/>
          <w:snapToGrid w:val="0"/>
          <w:color w:val="auto"/>
          <w:spacing w:val="0"/>
          <w:kern w:val="0"/>
          <w:sz w:val="32"/>
          <w:szCs w:val="32"/>
          <w:shd w:val="clear" w:color="auto" w:fill="auto"/>
          <w:lang w:val="en-US" w:eastAsia="zh-CN" w:bidi="ar-SA"/>
        </w:rPr>
        <w:t>附则</w:t>
      </w:r>
    </w:p>
    <w:p>
      <w:pPr>
        <w:pStyle w:val="3"/>
        <w:keepNext w:val="0"/>
        <w:keepLines w:val="0"/>
        <w:pageBreakBefore w:val="0"/>
        <w:widowControl w:val="0"/>
        <w:kinsoku/>
        <w:wordWrap/>
        <w:overflowPunct/>
        <w:topLinePunct w:val="0"/>
        <w:autoSpaceDE/>
        <w:autoSpaceDN/>
        <w:bidi w:val="0"/>
        <w:snapToGrid/>
        <w:spacing w:line="600" w:lineRule="exact"/>
        <w:ind w:firstLine="643" w:firstLineChars="200"/>
        <w:jc w:val="left"/>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第七条</w:t>
      </w:r>
      <w:r>
        <w:rPr>
          <w:rFonts w:hint="eastAsia" w:ascii="仿宋_GB2312" w:hAnsi="仿宋_GB2312" w:eastAsia="仿宋_GB2312" w:cs="仿宋_GB2312"/>
          <w:color w:val="000000"/>
          <w:kern w:val="2"/>
          <w:sz w:val="32"/>
          <w:szCs w:val="32"/>
          <w:highlight w:val="none"/>
          <w:lang w:val="en-US" w:eastAsia="zh-CN" w:bidi="ar-SA"/>
        </w:rPr>
        <w:t xml:space="preserve">  本制度经2024年4</w:t>
      </w:r>
      <w:r>
        <w:rPr>
          <w:rFonts w:hint="default" w:ascii="仿宋_GB2312" w:hAnsi="仿宋_GB2312" w:eastAsia="仿宋_GB2312" w:cs="仿宋_GB2312"/>
          <w:color w:val="000000"/>
          <w:kern w:val="2"/>
          <w:sz w:val="32"/>
          <w:szCs w:val="32"/>
          <w:highlight w:val="none"/>
          <w:lang w:val="en-US" w:eastAsia="zh-CN" w:bidi="ar-SA"/>
        </w:rPr>
        <w:t>月</w:t>
      </w:r>
      <w:r>
        <w:rPr>
          <w:rFonts w:hint="eastAsia" w:ascii="仿宋_GB2312" w:hAnsi="仿宋_GB2312" w:eastAsia="仿宋_GB2312" w:cs="仿宋_GB2312"/>
          <w:color w:val="000000"/>
          <w:kern w:val="2"/>
          <w:sz w:val="32"/>
          <w:szCs w:val="32"/>
          <w:highlight w:val="none"/>
          <w:lang w:val="en-US" w:eastAsia="zh-CN" w:bidi="ar-SA"/>
        </w:rPr>
        <w:t>29</w:t>
      </w:r>
      <w:r>
        <w:rPr>
          <w:rFonts w:hint="default" w:ascii="仿宋_GB2312" w:hAnsi="仿宋_GB2312" w:eastAsia="仿宋_GB2312" w:cs="仿宋_GB2312"/>
          <w:color w:val="000000"/>
          <w:kern w:val="2"/>
          <w:sz w:val="32"/>
          <w:szCs w:val="32"/>
          <w:highlight w:val="none"/>
          <w:lang w:val="en-US" w:eastAsia="zh-CN" w:bidi="ar-SA"/>
        </w:rPr>
        <w:t>日理事会审议通过后</w:t>
      </w:r>
      <w:r>
        <w:rPr>
          <w:rFonts w:hint="eastAsia" w:ascii="仿宋_GB2312" w:hAnsi="仿宋_GB2312" w:eastAsia="仿宋_GB2312" w:cs="仿宋_GB2312"/>
          <w:color w:val="000000"/>
          <w:kern w:val="2"/>
          <w:sz w:val="32"/>
          <w:szCs w:val="32"/>
          <w:highlight w:val="none"/>
          <w:lang w:val="en-US" w:eastAsia="zh-CN" w:bidi="ar-SA"/>
        </w:rPr>
        <w:t>正式实施。</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3"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 xml:space="preserve">第八条  </w:t>
      </w:r>
      <w:r>
        <w:rPr>
          <w:rFonts w:hint="default" w:ascii="仿宋_GB2312" w:hAnsi="仿宋_GB2312" w:eastAsia="仿宋_GB2312" w:cs="仿宋_GB2312"/>
          <w:color w:val="000000"/>
          <w:kern w:val="2"/>
          <w:sz w:val="32"/>
          <w:szCs w:val="32"/>
          <w:highlight w:val="none"/>
          <w:lang w:val="en-US" w:eastAsia="zh-CN" w:bidi="ar-SA"/>
        </w:rPr>
        <w:t>本</w:t>
      </w:r>
      <w:r>
        <w:rPr>
          <w:rFonts w:hint="eastAsia" w:ascii="仿宋_GB2312" w:hAnsi="仿宋_GB2312" w:eastAsia="仿宋_GB2312" w:cs="仿宋_GB2312"/>
          <w:color w:val="000000"/>
          <w:kern w:val="2"/>
          <w:sz w:val="32"/>
          <w:szCs w:val="32"/>
          <w:highlight w:val="none"/>
          <w:lang w:val="en-US" w:eastAsia="zh-CN" w:bidi="ar-SA"/>
        </w:rPr>
        <w:t>制度解释权归</w:t>
      </w:r>
      <w:r>
        <w:rPr>
          <w:rFonts w:hint="default" w:ascii="仿宋_GB2312" w:hAnsi="仿宋_GB2312" w:eastAsia="仿宋_GB2312" w:cs="仿宋_GB2312"/>
          <w:color w:val="000000"/>
          <w:kern w:val="2"/>
          <w:sz w:val="32"/>
          <w:szCs w:val="32"/>
          <w:highlight w:val="none"/>
          <w:lang w:val="en-US" w:eastAsia="zh-CN" w:bidi="ar-SA"/>
        </w:rPr>
        <w:t>四川省慈善联合总会</w:t>
      </w:r>
      <w:r>
        <w:rPr>
          <w:rFonts w:hint="eastAsia" w:ascii="仿宋_GB2312" w:hAnsi="仿宋_GB2312" w:eastAsia="仿宋_GB2312" w:cs="仿宋_GB2312"/>
          <w:color w:val="000000"/>
          <w:kern w:val="2"/>
          <w:sz w:val="32"/>
          <w:szCs w:val="32"/>
          <w:highlight w:val="none"/>
          <w:lang w:val="en-US" w:eastAsia="zh-CN" w:bidi="ar-SA"/>
        </w:rPr>
        <w:t>所有，适用于四川省慈善联合总会。</w:t>
      </w:r>
    </w:p>
    <w:p>
      <w:pPr>
        <w:pStyle w:val="3"/>
        <w:keepNext w:val="0"/>
        <w:keepLines w:val="0"/>
        <w:pageBreakBefore w:val="0"/>
        <w:widowControl w:val="0"/>
        <w:kinsoku/>
        <w:wordWrap/>
        <w:overflowPunct/>
        <w:topLinePunct w:val="0"/>
        <w:autoSpaceDE/>
        <w:autoSpaceDN/>
        <w:bidi w:val="0"/>
        <w:adjustRightInd/>
        <w:snapToGrid/>
        <w:spacing w:after="0" w:line="576" w:lineRule="exact"/>
        <w:ind w:firstLine="640" w:firstLineChars="200"/>
        <w:jc w:val="left"/>
        <w:textAlignment w:val="auto"/>
        <w:rPr>
          <w:rFonts w:hint="default" w:ascii="仿宋_GB2312" w:hAnsi="仿宋_GB2312" w:eastAsia="仿宋_GB2312" w:cs="仿宋_GB2312"/>
          <w:color w:val="000000"/>
          <w:kern w:val="2"/>
          <w:sz w:val="32"/>
          <w:szCs w:val="32"/>
          <w:highlight w:val="none"/>
          <w:lang w:val="en-US" w:eastAsia="zh-CN" w:bidi="ar-SA"/>
        </w:rPr>
      </w:pPr>
    </w:p>
    <w:p>
      <w:pPr>
        <w:keepNext w:val="0"/>
        <w:keepLines w:val="0"/>
        <w:pageBreakBefore w:val="0"/>
        <w:kinsoku/>
        <w:wordWrap/>
        <w:overflowPunct w:val="0"/>
        <w:topLinePunct w:val="0"/>
        <w:autoSpaceDE/>
        <w:autoSpaceDN/>
        <w:bidi w:val="0"/>
        <w:snapToGrid/>
        <w:spacing w:line="576" w:lineRule="exact"/>
        <w:jc w:val="center"/>
        <w:textAlignment w:val="auto"/>
        <w:rPr>
          <w:rFonts w:hint="default" w:ascii="方正小标宋简体" w:hAnsi="方正小标宋简体" w:eastAsia="方正小标宋简体" w:cs="方正小标宋简体"/>
          <w:sz w:val="44"/>
          <w:szCs w:val="4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GMzZGJjNDQ4NTU0YWU4OWE5OTg2YTQxZGYwMTMifQ=="/>
    <w:docVar w:name="KSO_WPS_MARK_KEY" w:val="908f7c49-af60-4c03-a01c-0d0351c87fa5"/>
  </w:docVars>
  <w:rsids>
    <w:rsidRoot w:val="00000000"/>
    <w:rsid w:val="6F213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next w:val="1"/>
    <w:qFormat/>
    <w:uiPriority w:val="0"/>
    <w:pPr>
      <w:spacing w:line="560" w:lineRule="exact"/>
      <w:ind w:firstLine="200" w:firstLineChars="200"/>
    </w:pPr>
    <w:rPr>
      <w:rFonts w:eastAsia="方正仿宋简体"/>
      <w:sz w:val="32"/>
    </w:rPr>
  </w:style>
  <w:style w:type="paragraph" w:styleId="3">
    <w:name w:val="Body Text"/>
    <w:basedOn w:val="1"/>
    <w:next w:val="1"/>
    <w:qFormat/>
    <w:uiPriority w:val="0"/>
    <w:pPr>
      <w:keepNext w:val="0"/>
      <w:keepLines w:val="0"/>
      <w:widowControl w:val="0"/>
      <w:suppressLineNumbers w:val="0"/>
      <w:spacing w:after="120" w:afterLines="0" w:afterAutospacing="0"/>
      <w:jc w:val="both"/>
    </w:pPr>
    <w:rPr>
      <w:rFonts w:hint="default" w:ascii="Calibri" w:hAnsi="Calibri" w:eastAsia="宋体" w:cs="Times New Roman"/>
      <w:kern w:val="2"/>
      <w:sz w:val="32"/>
      <w:szCs w:val="3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2025-04-25T10:14:11Z</dcterms:created>
  <dc:creator>Administrator</dc:creator>
  <cp:lastModifiedBy>郝小jian</cp:lastModifiedBy>
  <dcterms:modified xsi:type="dcterms:W3CDTF">2025-04-25T10:14:35Z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A1FC655F7EFA4AE9AC28300D512AEAC9_12</vt:lpwstr>
  </property>
</Properties>
</file>