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全省性公益慈善服务空间“U善里”墙面绘制服务项目评分表</w:t>
      </w:r>
    </w:p>
    <w:bookmarkEnd w:id="0"/>
    <w:p>
      <w:pPr>
        <w:pStyle w:val="3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6"/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以往业绩整体设计水平（含对应业绩的其他企业墙绘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实地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图、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设计图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供应商提供的其他企业墙绘实地图、设计图，具备美观性、创新性、故事性，场景透视与光影关系正确，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墙景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空间整体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协调，手绘线条流畅，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颜色鲜艳、饱满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，总计40分。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投标人以往业绩，每提供一份资料得5分，总计15分。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响应文件制作规范，是否密封，总计5分。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231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满足招标文件要求且投标价格最低的投标报价为评标基准价，其价格分为满分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，其他投标人的价格分统一按照下列公式计算:投标报价得分=(评标基准价/投标报价)x30。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421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20F414-E42A-455C-A777-D34EB9C388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2B5BF0-FBEA-4AAF-A608-680532D10C0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93003A-D8A1-48A3-9D58-5224C7E922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D26C0E-0203-4FF3-B077-41D57E54E1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15743E42"/>
    <w:rsid w:val="326225B7"/>
    <w:rsid w:val="44B454C5"/>
    <w:rsid w:val="460A3878"/>
    <w:rsid w:val="58AD5E9A"/>
    <w:rsid w:val="59466384"/>
    <w:rsid w:val="7B3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2024-03-25T07:55:05Z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C73936A740F64326A60D2789209D097C_13</vt:lpwstr>
  </property>
</Properties>
</file>